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75" w:rsidRDefault="005A5C75" w:rsidP="005A5C75">
      <w:pPr>
        <w:autoSpaceDE w:val="0"/>
        <w:autoSpaceDN w:val="0"/>
        <w:adjustRightInd w:val="0"/>
        <w:spacing w:after="0" w:line="240" w:lineRule="auto"/>
        <w:jc w:val="both"/>
        <w:rPr>
          <w:rFonts w:ascii="LinotypeErgo-Bold" w:hAnsi="LinotypeErgo-Bold" w:cs="LinotypeErgo-Bold"/>
          <w:b/>
          <w:bCs/>
          <w:sz w:val="28"/>
          <w:szCs w:val="28"/>
        </w:rPr>
      </w:pPr>
      <w:r>
        <w:rPr>
          <w:rFonts w:ascii="LinotypeErgo-Bold" w:hAnsi="LinotypeErgo-Bold" w:cs="LinotypeErgo-Bold"/>
          <w:b/>
          <w:bCs/>
          <w:sz w:val="28"/>
          <w:szCs w:val="28"/>
        </w:rPr>
        <w:t>OBJETIVOS DE LA AUDITORÍA ADMINISTRATIVA</w:t>
      </w: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Por sus características, la auditoría administrativa constituye una herramienta fundamental para impulsar el crecimiento de las organizaciones, toda vez que permite detectar en qué áreas se requiere de un estudio más profundo, qué acciones se pueden tomar para subsanar deficiencias, cómo superar obstáculos, cómo imprimir mayor cohesión al funcionamiento de dichas áreas y, sobre todo, realizar un análisis causa-efecto que concilie en forma congruente los hechos con las ideas.</w:t>
      </w: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En virtud de lo anterior, es necesario establecer el marco para definir objetivos congruentes cuya cobertura encamine las tareas hacia resultados específicos. Entre los criterios más sobresalientes para lograrlo se pueden mencionar:</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a. De control</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Destinados a orientar los esfuerzos en la aplicación de la auditoría y evaluar el comportamiento organizacional en relación con estándares preestablecidos.</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b. De productividad</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Encauzan las acciones de la auditoría para optimizar el aprovechamiento de los recursos de acuerdo con la dinámica administrativa instituida por la organización.</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c. De organización</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Determinan que el curso de la auditoría apoye la definición de la estructura, competencia, funciones y procesos a través del manejo eficaz de la delegación de autoridad y el trabajo en equipo.</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d. De servicio</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Representan la manera en que la auditoría puede constatar que la organización está inmersa en un proceso que la vincula cuantitativa y cualitativamente con las expectativas y satisfacción de sus clientes.</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e. De calidad</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Disponen que la auditoría tienda a elevar los niveles de actuación de la organización en todos sus contenidos y ámbitos, para que produzca bienes y servicios altamente competitivos.</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f. De cambio</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Transforman la auditoría en un instrumento que hace más permeable y receptiva a la organización.</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g. De aprendizaje</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Permiten que la auditoría se transforme en un mecanismo de aprendizaje institucional para que la organización pueda asimilar sus experiencias y las capitalice para convertirlas en oportunidades de mejora.</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h. De toma de decisiones</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Traducen la puesta en práctica y los resultados de la auditoría en un sólido instrumento de soporte del proceso de gestión de la organización.</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i. De interacción</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Posibilitan el manejo inteligente de la auditoría en función de la estrategia para relacionar a la organización con los competidores reales y potenciales, así como con los proveedores y clientes.</w:t>
      </w: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r>
        <w:rPr>
          <w:rFonts w:ascii="LinotypeErgo-DemiBold" w:hAnsi="LinotypeErgo-DemiBold" w:cs="LinotypeErgo-DemiBold"/>
          <w:b/>
          <w:bCs/>
          <w:sz w:val="20"/>
          <w:szCs w:val="20"/>
        </w:rPr>
        <w:t>j. De vinculación</w:t>
      </w:r>
      <w:r>
        <w:rPr>
          <w:rFonts w:ascii="LinotypeErgo-DemiBold" w:hAnsi="LinotypeErgo-DemiBold" w:cs="LinotypeErgo-DemiBold"/>
          <w:b/>
          <w:bCs/>
          <w:sz w:val="20"/>
          <w:szCs w:val="20"/>
        </w:rPr>
        <w:t xml:space="preserve">: </w:t>
      </w:r>
      <w:r>
        <w:rPr>
          <w:rFonts w:ascii="LinotypeErgo-Regular" w:hAnsi="LinotypeErgo-Regular" w:cs="LinotypeErgo-Regular"/>
          <w:sz w:val="20"/>
          <w:szCs w:val="20"/>
        </w:rPr>
        <w:t>Facilitan que la auditoría se constituya en un vínculo entre la organización y un contexto globalizado.</w:t>
      </w: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p>
    <w:p w:rsidR="005A5C75" w:rsidRDefault="005A5C75" w:rsidP="005A5C75">
      <w:pPr>
        <w:autoSpaceDE w:val="0"/>
        <w:autoSpaceDN w:val="0"/>
        <w:adjustRightInd w:val="0"/>
        <w:spacing w:after="0" w:line="240" w:lineRule="auto"/>
        <w:jc w:val="both"/>
        <w:rPr>
          <w:rFonts w:ascii="LinotypeErgo-Bold" w:hAnsi="LinotypeErgo-Bold" w:cs="LinotypeErgo-Bold"/>
          <w:b/>
          <w:bCs/>
          <w:sz w:val="28"/>
          <w:szCs w:val="28"/>
        </w:rPr>
      </w:pPr>
      <w:r>
        <w:rPr>
          <w:rFonts w:ascii="LinotypeErgo-Bold" w:hAnsi="LinotypeErgo-Bold" w:cs="LinotypeErgo-Bold"/>
          <w:b/>
          <w:bCs/>
          <w:sz w:val="28"/>
          <w:szCs w:val="28"/>
        </w:rPr>
        <w:t>OBJETIVOS DE LA AUDITORÍA ADMINISTRATIVA</w:t>
      </w: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Por sus características, la auditoría administrativa constituye una herramienta fundamental para impulsar el crecimiento de las organizaciones, toda vez que permite detectar en qué áreas se requiere de un estudio más profundo, qué acciones se pueden tomar para subsanar deficiencias, cómo superar obstáculos, cómo imprimir mayor cohesión al funcionamiento de dichas áreas y, sobre todo, realizar un análisis causa-efecto que concilie en forma congruente los hechos con las ideas.</w:t>
      </w:r>
    </w:p>
    <w:p w:rsidR="005A5C75" w:rsidRDefault="005A5C75" w:rsidP="005A5C75">
      <w:pPr>
        <w:autoSpaceDE w:val="0"/>
        <w:autoSpaceDN w:val="0"/>
        <w:adjustRightInd w:val="0"/>
        <w:spacing w:after="0" w:line="240" w:lineRule="auto"/>
        <w:jc w:val="both"/>
        <w:rPr>
          <w:rFonts w:ascii="LinotypeErgo-Regular" w:hAnsi="LinotypeErgo-Regular" w:cs="LinotypeErgo-Regular"/>
          <w:sz w:val="20"/>
          <w:szCs w:val="20"/>
        </w:rPr>
      </w:pPr>
      <w:r>
        <w:rPr>
          <w:rFonts w:ascii="LinotypeErgo-Regular" w:hAnsi="LinotypeErgo-Regular" w:cs="LinotypeErgo-Regular"/>
          <w:sz w:val="20"/>
          <w:szCs w:val="20"/>
        </w:rPr>
        <w:t>En virtud de lo anterior, es necesario establecer el marco para definir objetivos congruentes cuya cobertura encamine las tareas hacia resultados específicos. Entre los criterios más sobresalientes para lograrlo se pueden mencionar:</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a. De control: </w:t>
      </w:r>
      <w:r>
        <w:rPr>
          <w:rFonts w:ascii="LinotypeErgo-Regular" w:hAnsi="LinotypeErgo-Regular" w:cs="LinotypeErgo-Regular"/>
          <w:sz w:val="20"/>
          <w:szCs w:val="20"/>
        </w:rPr>
        <w:t>Destinados a orientar los esfuerzos en la aplicación de la auditoría y evaluar el comportamiento organizacional en relación con estándares preestablecidos.</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b. De productividad: </w:t>
      </w:r>
      <w:r>
        <w:rPr>
          <w:rFonts w:ascii="LinotypeErgo-Regular" w:hAnsi="LinotypeErgo-Regular" w:cs="LinotypeErgo-Regular"/>
          <w:sz w:val="20"/>
          <w:szCs w:val="20"/>
        </w:rPr>
        <w:t>Encauzan las acciones de la auditoría para optimizar el aprovechamiento de los recursos de acuerdo con la dinámica administrativa instituida por la organización.</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c. De organización: </w:t>
      </w:r>
      <w:r>
        <w:rPr>
          <w:rFonts w:ascii="LinotypeErgo-Regular" w:hAnsi="LinotypeErgo-Regular" w:cs="LinotypeErgo-Regular"/>
          <w:sz w:val="20"/>
          <w:szCs w:val="20"/>
        </w:rPr>
        <w:t>Determinan que el curso de la auditoría apoye la definición de la estructura, competencia, funciones y procesos a través del manejo eficaz de la delegación de autoridad y el trabajo en equipo.</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d. De servicio: </w:t>
      </w:r>
      <w:r>
        <w:rPr>
          <w:rFonts w:ascii="LinotypeErgo-Regular" w:hAnsi="LinotypeErgo-Regular" w:cs="LinotypeErgo-Regular"/>
          <w:sz w:val="20"/>
          <w:szCs w:val="20"/>
        </w:rPr>
        <w:t>Representan la manera en que la auditoría puede constatar que la organización está inmersa en un proceso que la vincula cuantitativa y cualitativamente con las expectativas y satisfacción de sus clientes.</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e. De calidad: </w:t>
      </w:r>
      <w:r>
        <w:rPr>
          <w:rFonts w:ascii="LinotypeErgo-Regular" w:hAnsi="LinotypeErgo-Regular" w:cs="LinotypeErgo-Regular"/>
          <w:sz w:val="20"/>
          <w:szCs w:val="20"/>
        </w:rPr>
        <w:t>Disponen que la auditoría tienda a elevar los niveles de actuación de la organización en todos sus contenidos y ámbitos, para que produzca bienes y servicios altamente competitivos.</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f. De cambio: </w:t>
      </w:r>
      <w:r>
        <w:rPr>
          <w:rFonts w:ascii="LinotypeErgo-Regular" w:hAnsi="LinotypeErgo-Regular" w:cs="LinotypeErgo-Regular"/>
          <w:sz w:val="20"/>
          <w:szCs w:val="20"/>
        </w:rPr>
        <w:t>Transforman la auditoría en un instrumento que hace más permeable y receptiva a la organización.</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g. De aprendizaje: </w:t>
      </w:r>
      <w:r>
        <w:rPr>
          <w:rFonts w:ascii="LinotypeErgo-Regular" w:hAnsi="LinotypeErgo-Regular" w:cs="LinotypeErgo-Regular"/>
          <w:sz w:val="20"/>
          <w:szCs w:val="20"/>
        </w:rPr>
        <w:t>Permiten que la auditoría se transforme en un mecanismo de aprendizaje institucional para que la organización pueda asimilar sus experiencias y las capitalice para convertirlas en oportunidades de mejora.</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h. De toma de decisiones: </w:t>
      </w:r>
      <w:r>
        <w:rPr>
          <w:rFonts w:ascii="LinotypeErgo-Regular" w:hAnsi="LinotypeErgo-Regular" w:cs="LinotypeErgo-Regular"/>
          <w:sz w:val="20"/>
          <w:szCs w:val="20"/>
        </w:rPr>
        <w:t>Traducen la puesta en práctica y los resultados de la auditoría en un sólido instrumento de soporte del proceso de gestión de la organización.</w:t>
      </w:r>
    </w:p>
    <w:p w:rsid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i. De interacción: </w:t>
      </w:r>
      <w:r>
        <w:rPr>
          <w:rFonts w:ascii="LinotypeErgo-Regular" w:hAnsi="LinotypeErgo-Regular" w:cs="LinotypeErgo-Regular"/>
          <w:sz w:val="20"/>
          <w:szCs w:val="20"/>
        </w:rPr>
        <w:t>Posibilitan el manejo inteligente de la auditoría en función de la estrategia para relacionar a la organización con los competidores reales y potenciales, así como con los proveedores y clientes.</w:t>
      </w:r>
    </w:p>
    <w:p w:rsidR="00E5045F" w:rsidRPr="005A5C75" w:rsidRDefault="005A5C75" w:rsidP="005A5C75">
      <w:pPr>
        <w:autoSpaceDE w:val="0"/>
        <w:autoSpaceDN w:val="0"/>
        <w:adjustRightInd w:val="0"/>
        <w:spacing w:after="0" w:line="240" w:lineRule="auto"/>
        <w:jc w:val="both"/>
        <w:rPr>
          <w:rFonts w:ascii="LinotypeErgo-DemiBold" w:hAnsi="LinotypeErgo-DemiBold" w:cs="LinotypeErgo-DemiBold"/>
          <w:b/>
          <w:bCs/>
          <w:sz w:val="20"/>
          <w:szCs w:val="20"/>
        </w:rPr>
      </w:pPr>
      <w:r>
        <w:rPr>
          <w:rFonts w:ascii="LinotypeErgo-DemiBold" w:hAnsi="LinotypeErgo-DemiBold" w:cs="LinotypeErgo-DemiBold"/>
          <w:b/>
          <w:bCs/>
          <w:sz w:val="20"/>
          <w:szCs w:val="20"/>
        </w:rPr>
        <w:t xml:space="preserve">j. De vinculación: </w:t>
      </w:r>
      <w:r>
        <w:rPr>
          <w:rFonts w:ascii="LinotypeErgo-Regular" w:hAnsi="LinotypeErgo-Regular" w:cs="LinotypeErgo-Regular"/>
          <w:sz w:val="20"/>
          <w:szCs w:val="20"/>
        </w:rPr>
        <w:t>Facilitan que la auditoría se constituya en un vínculo entre la organización y un contexto globalizado.</w:t>
      </w:r>
      <w:bookmarkStart w:id="0" w:name="_GoBack"/>
      <w:bookmarkEnd w:id="0"/>
    </w:p>
    <w:sectPr w:rsidR="00E5045F" w:rsidRPr="005A5C75" w:rsidSect="005A5C75">
      <w:pgSz w:w="12240" w:h="15840"/>
      <w:pgMar w:top="567" w:right="104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notypeErgo-Bold">
    <w:panose1 w:val="00000000000000000000"/>
    <w:charset w:val="00"/>
    <w:family w:val="auto"/>
    <w:notTrueType/>
    <w:pitch w:val="default"/>
    <w:sig w:usb0="00000003" w:usb1="00000000" w:usb2="00000000" w:usb3="00000000" w:csb0="00000001" w:csb1="00000000"/>
  </w:font>
  <w:font w:name="LinotypeErgo-Regular">
    <w:panose1 w:val="00000000000000000000"/>
    <w:charset w:val="00"/>
    <w:family w:val="auto"/>
    <w:notTrueType/>
    <w:pitch w:val="default"/>
    <w:sig w:usb0="00000003" w:usb1="00000000" w:usb2="00000000" w:usb3="00000000" w:csb0="00000001" w:csb1="00000000"/>
  </w:font>
  <w:font w:name="LinotypeErgo-D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75"/>
    <w:rsid w:val="005A5C75"/>
    <w:rsid w:val="00E504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795</Words>
  <Characters>4373</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Caro</cp:lastModifiedBy>
  <cp:revision>1</cp:revision>
  <dcterms:created xsi:type="dcterms:W3CDTF">2016-02-11T01:56:00Z</dcterms:created>
  <dcterms:modified xsi:type="dcterms:W3CDTF">2016-02-11T01:59:00Z</dcterms:modified>
</cp:coreProperties>
</file>